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EF3" w:rsidRPr="00480EF3" w:rsidRDefault="00480EF3" w:rsidP="00480EF3">
      <w:pPr>
        <w:bidi w:val="0"/>
        <w:spacing w:after="0" w:line="240" w:lineRule="auto"/>
        <w:ind w:left="-426" w:right="-625"/>
        <w:jc w:val="center"/>
        <w:rPr>
          <w:rFonts w:eastAsia="Times New Roman" w:cs="Times New Roman"/>
          <w:b/>
          <w:bCs/>
          <w:sz w:val="32"/>
          <w:szCs w:val="32"/>
        </w:rPr>
      </w:pPr>
      <w:r w:rsidRPr="00480EF3">
        <w:rPr>
          <w:rFonts w:eastAsia="Times New Roman" w:cs="Times New Roman"/>
          <w:b/>
          <w:bCs/>
          <w:sz w:val="32"/>
          <w:szCs w:val="32"/>
        </w:rPr>
        <w:t>Common bile duct clearance of stones by open surgery, laparoscopic surgery, and endoscopic approaches (Comparative study)</w:t>
      </w:r>
    </w:p>
    <w:p w:rsidR="00480EF3" w:rsidRPr="00480EF3" w:rsidRDefault="00480EF3" w:rsidP="00480EF3">
      <w:pPr>
        <w:bidi w:val="0"/>
        <w:spacing w:after="0" w:line="240" w:lineRule="auto"/>
        <w:ind w:left="-426" w:right="-625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480EF3" w:rsidRPr="00480EF3" w:rsidRDefault="00480EF3" w:rsidP="00480EF3">
      <w:pPr>
        <w:bidi w:val="0"/>
        <w:spacing w:after="0" w:line="240" w:lineRule="auto"/>
        <w:ind w:left="-426" w:right="-625"/>
        <w:jc w:val="center"/>
        <w:rPr>
          <w:rFonts w:eastAsia="Times New Roman" w:cs="Times New Roman"/>
          <w:b/>
          <w:bCs/>
          <w:sz w:val="24"/>
          <w:szCs w:val="24"/>
        </w:rPr>
      </w:pPr>
      <w:proofErr w:type="spellStart"/>
      <w:r w:rsidRPr="00480EF3">
        <w:rPr>
          <w:rFonts w:eastAsia="Times New Roman" w:cs="Times New Roman"/>
          <w:b/>
          <w:bCs/>
          <w:sz w:val="24"/>
          <w:szCs w:val="24"/>
        </w:rPr>
        <w:t>Alaa</w:t>
      </w:r>
      <w:proofErr w:type="spellEnd"/>
      <w:r w:rsidRPr="00480EF3">
        <w:rPr>
          <w:rFonts w:eastAsia="Times New Roman" w:cs="Times New Roman"/>
          <w:b/>
          <w:bCs/>
          <w:sz w:val="24"/>
          <w:szCs w:val="24"/>
        </w:rPr>
        <w:t xml:space="preserve"> A. </w:t>
      </w:r>
      <w:proofErr w:type="spellStart"/>
      <w:r w:rsidRPr="00480EF3">
        <w:rPr>
          <w:rFonts w:eastAsia="Times New Roman" w:cs="Times New Roman"/>
          <w:b/>
          <w:bCs/>
          <w:sz w:val="24"/>
          <w:szCs w:val="24"/>
        </w:rPr>
        <w:t>Redwan</w:t>
      </w:r>
      <w:proofErr w:type="spellEnd"/>
      <w:proofErr w:type="gramStart"/>
      <w:r w:rsidR="00EF6014">
        <w:rPr>
          <w:rFonts w:eastAsia="Times New Roman" w:cs="Times New Roman"/>
          <w:b/>
          <w:bCs/>
          <w:sz w:val="24"/>
          <w:szCs w:val="24"/>
        </w:rPr>
        <w:t>*</w:t>
      </w:r>
      <w:r w:rsidRPr="00480EF3">
        <w:rPr>
          <w:rFonts w:eastAsia="Times New Roman" w:cs="Times New Roman"/>
          <w:b/>
          <w:bCs/>
          <w:sz w:val="24"/>
          <w:szCs w:val="24"/>
        </w:rPr>
        <w:t xml:space="preserve"> ,</w:t>
      </w:r>
      <w:proofErr w:type="gramEnd"/>
      <w:r w:rsidRPr="00480EF3">
        <w:rPr>
          <w:rFonts w:eastAsia="Times New Roman" w:cs="Times New Roman"/>
          <w:b/>
          <w:bCs/>
          <w:sz w:val="24"/>
          <w:szCs w:val="24"/>
        </w:rPr>
        <w:t xml:space="preserve"> M.D., </w:t>
      </w:r>
      <w:proofErr w:type="spellStart"/>
      <w:r w:rsidRPr="00480EF3">
        <w:rPr>
          <w:rFonts w:eastAsia="Times New Roman" w:cs="Times New Roman"/>
          <w:b/>
          <w:bCs/>
          <w:sz w:val="24"/>
          <w:szCs w:val="24"/>
        </w:rPr>
        <w:t>Ph</w:t>
      </w:r>
      <w:proofErr w:type="spellEnd"/>
      <w:r w:rsidRPr="00480EF3">
        <w:rPr>
          <w:rFonts w:eastAsia="Times New Roman" w:cs="Times New Roman"/>
          <w:b/>
          <w:bCs/>
          <w:sz w:val="24"/>
          <w:szCs w:val="24"/>
        </w:rPr>
        <w:t xml:space="preserve"> D., and Moham</w:t>
      </w:r>
      <w:r w:rsidR="00EE7FD5">
        <w:rPr>
          <w:rFonts w:eastAsia="Times New Roman" w:cs="Times New Roman"/>
          <w:b/>
          <w:bCs/>
          <w:sz w:val="24"/>
          <w:szCs w:val="24"/>
        </w:rPr>
        <w:t>me</w:t>
      </w:r>
      <w:r w:rsidRPr="00480EF3">
        <w:rPr>
          <w:rFonts w:eastAsia="Times New Roman" w:cs="Times New Roman"/>
          <w:b/>
          <w:bCs/>
          <w:sz w:val="24"/>
          <w:szCs w:val="24"/>
        </w:rPr>
        <w:t>d A. Omar</w:t>
      </w:r>
      <w:r w:rsidR="00EF6014">
        <w:rPr>
          <w:rFonts w:eastAsia="Times New Roman" w:cs="Times New Roman"/>
          <w:b/>
          <w:bCs/>
          <w:sz w:val="24"/>
          <w:szCs w:val="24"/>
        </w:rPr>
        <w:t>**</w:t>
      </w:r>
      <w:r w:rsidRPr="00480EF3">
        <w:rPr>
          <w:rFonts w:eastAsia="Times New Roman" w:cs="Times New Roman"/>
          <w:b/>
          <w:bCs/>
          <w:sz w:val="24"/>
          <w:szCs w:val="24"/>
        </w:rPr>
        <w:t xml:space="preserve"> M.D.</w:t>
      </w:r>
    </w:p>
    <w:p w:rsidR="00EF6014" w:rsidRDefault="00EF6014" w:rsidP="00EF6014">
      <w:pPr>
        <w:bidi w:val="0"/>
        <w:spacing w:after="0" w:line="240" w:lineRule="auto"/>
        <w:ind w:left="-426" w:right="-6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*</w:t>
      </w:r>
      <w:r w:rsidRPr="00EF6014">
        <w:rPr>
          <w:rFonts w:eastAsia="Times New Roman" w:cs="Times New Roman"/>
          <w:sz w:val="24"/>
          <w:szCs w:val="24"/>
        </w:rPr>
        <w:t xml:space="preserve"> G</w:t>
      </w:r>
      <w:r>
        <w:rPr>
          <w:rFonts w:eastAsia="Times New Roman" w:cs="Times New Roman"/>
          <w:sz w:val="24"/>
          <w:szCs w:val="24"/>
        </w:rPr>
        <w:t>eneral Surgery Department, Assuit</w:t>
      </w:r>
      <w:r w:rsidRPr="00EF6014">
        <w:rPr>
          <w:rFonts w:eastAsia="Times New Roman" w:cs="Times New Roman"/>
          <w:sz w:val="24"/>
          <w:szCs w:val="24"/>
        </w:rPr>
        <w:t xml:space="preserve"> University,</w:t>
      </w:r>
      <w:r w:rsidRPr="00EF6014">
        <w:rPr>
          <w:rFonts w:eastAsia="Times New Roman" w:cs="Times New Roman"/>
          <w:sz w:val="24"/>
          <w:szCs w:val="24"/>
          <w:rtl/>
        </w:rPr>
        <w:t xml:space="preserve"> </w:t>
      </w:r>
      <w:r>
        <w:rPr>
          <w:rFonts w:eastAsia="Times New Roman" w:cs="Times New Roman"/>
          <w:sz w:val="24"/>
          <w:szCs w:val="24"/>
        </w:rPr>
        <w:t>Assuit</w:t>
      </w:r>
    </w:p>
    <w:p w:rsidR="00480EF3" w:rsidRPr="00480EF3" w:rsidRDefault="00EF6014" w:rsidP="00EF6014">
      <w:pPr>
        <w:bidi w:val="0"/>
        <w:spacing w:after="0" w:line="240" w:lineRule="auto"/>
        <w:ind w:left="-426" w:right="-625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**</w:t>
      </w:r>
      <w:r w:rsidR="00480EF3" w:rsidRPr="00480EF3">
        <w:rPr>
          <w:rFonts w:eastAsia="Times New Roman" w:cs="Times New Roman"/>
          <w:sz w:val="24"/>
          <w:szCs w:val="24"/>
        </w:rPr>
        <w:t>General Surgery Department, Sohag University,</w:t>
      </w:r>
      <w:r w:rsidR="00480EF3" w:rsidRPr="00480EF3">
        <w:rPr>
          <w:rFonts w:eastAsia="Times New Roman" w:cs="Times New Roman"/>
          <w:sz w:val="24"/>
          <w:szCs w:val="24"/>
          <w:rtl/>
        </w:rPr>
        <w:t xml:space="preserve"> </w:t>
      </w:r>
      <w:r w:rsidR="00480EF3" w:rsidRPr="00480EF3">
        <w:rPr>
          <w:rFonts w:eastAsia="Times New Roman" w:cs="Times New Roman"/>
          <w:sz w:val="24"/>
          <w:szCs w:val="24"/>
        </w:rPr>
        <w:t>Sohag</w:t>
      </w:r>
    </w:p>
    <w:p w:rsidR="00A261E7" w:rsidRPr="00E54DC7" w:rsidRDefault="00A261E7" w:rsidP="005F717B">
      <w:pPr>
        <w:pStyle w:val="NoSpacing"/>
        <w:bidi w:val="0"/>
        <w:ind w:left="-709" w:right="-766"/>
        <w:rPr>
          <w:b/>
          <w:bCs/>
          <w:sz w:val="24"/>
          <w:szCs w:val="24"/>
        </w:rPr>
      </w:pPr>
      <w:r w:rsidRPr="00E54DC7">
        <w:rPr>
          <w:b/>
          <w:bCs/>
          <w:sz w:val="24"/>
          <w:szCs w:val="24"/>
        </w:rPr>
        <w:t>Abstract:</w:t>
      </w:r>
    </w:p>
    <w:p w:rsidR="00A261E7" w:rsidRDefault="00A261E7" w:rsidP="005F717B">
      <w:pPr>
        <w:pStyle w:val="NoSpacing"/>
        <w:bidi w:val="0"/>
        <w:ind w:left="-709" w:right="-766"/>
        <w:jc w:val="both"/>
        <w:rPr>
          <w:sz w:val="24"/>
          <w:szCs w:val="24"/>
        </w:rPr>
      </w:pPr>
      <w:r w:rsidRPr="0070127F">
        <w:rPr>
          <w:i/>
          <w:iCs/>
          <w:sz w:val="24"/>
          <w:szCs w:val="24"/>
        </w:rPr>
        <w:t>Background and aim of the work:</w:t>
      </w:r>
      <w:r w:rsidR="0070127F">
        <w:rPr>
          <w:sz w:val="24"/>
          <w:szCs w:val="24"/>
        </w:rPr>
        <w:t xml:space="preserve"> </w:t>
      </w:r>
      <w:r w:rsidR="00B032D2">
        <w:rPr>
          <w:sz w:val="24"/>
          <w:szCs w:val="24"/>
        </w:rPr>
        <w:t>Around 10-</w:t>
      </w:r>
      <w:r w:rsidR="0070127F" w:rsidRPr="0070127F">
        <w:rPr>
          <w:sz w:val="24"/>
          <w:szCs w:val="24"/>
        </w:rPr>
        <w:t>18% of people undergoing cholecystectomy for gallstones hav</w:t>
      </w:r>
      <w:r w:rsidR="0070127F">
        <w:rPr>
          <w:sz w:val="24"/>
          <w:szCs w:val="24"/>
        </w:rPr>
        <w:t>e common bile duct (CBD) stones</w:t>
      </w:r>
      <w:r w:rsidR="00485324" w:rsidRPr="002C2E74">
        <w:rPr>
          <w:b/>
          <w:bCs/>
          <w:sz w:val="24"/>
          <w:szCs w:val="24"/>
          <w:vertAlign w:val="superscript"/>
        </w:rPr>
        <w:t>1</w:t>
      </w:r>
      <w:r w:rsidR="00B032D2">
        <w:rPr>
          <w:sz w:val="24"/>
          <w:szCs w:val="24"/>
        </w:rPr>
        <w:t>. Treatment</w:t>
      </w:r>
      <w:r w:rsidR="0070127F" w:rsidRPr="0070127F">
        <w:rPr>
          <w:sz w:val="24"/>
          <w:szCs w:val="24"/>
        </w:rPr>
        <w:t xml:space="preserve"> can be conducted as open cholecystectomy plus open common bile duct exploration,  laparoscopic cholecystectomy plus laparoscopic co</w:t>
      </w:r>
      <w:r w:rsidR="0070127F">
        <w:rPr>
          <w:sz w:val="24"/>
          <w:szCs w:val="24"/>
        </w:rPr>
        <w:t>mmon bile duct exploration (</w:t>
      </w:r>
      <w:r w:rsidR="0070127F" w:rsidRPr="0070127F">
        <w:rPr>
          <w:sz w:val="24"/>
          <w:szCs w:val="24"/>
        </w:rPr>
        <w:t>LCBDE), or pre- or post-cholecystectomy ERCP in two stages for CBD clearance</w:t>
      </w:r>
      <w:r w:rsidR="00485324" w:rsidRPr="002C2E74">
        <w:rPr>
          <w:b/>
          <w:bCs/>
          <w:sz w:val="24"/>
          <w:szCs w:val="24"/>
          <w:vertAlign w:val="superscript"/>
        </w:rPr>
        <w:t>1</w:t>
      </w:r>
      <w:r w:rsidR="00485324">
        <w:rPr>
          <w:sz w:val="24"/>
          <w:szCs w:val="24"/>
        </w:rPr>
        <w:t>.</w:t>
      </w:r>
      <w:r w:rsidR="0070127F">
        <w:rPr>
          <w:sz w:val="24"/>
          <w:szCs w:val="24"/>
        </w:rPr>
        <w:t xml:space="preserve"> </w:t>
      </w:r>
      <w:r w:rsidR="008D1C31">
        <w:rPr>
          <w:sz w:val="24"/>
          <w:szCs w:val="24"/>
        </w:rPr>
        <w:t xml:space="preserve">The aim of this study is to compare CBD clearance rate by each procedure in </w:t>
      </w:r>
      <w:r w:rsidR="00B032D2">
        <w:rPr>
          <w:sz w:val="24"/>
          <w:szCs w:val="24"/>
        </w:rPr>
        <w:t xml:space="preserve">a </w:t>
      </w:r>
      <w:r w:rsidR="008D1C31">
        <w:rPr>
          <w:sz w:val="24"/>
          <w:szCs w:val="24"/>
        </w:rPr>
        <w:t>well-equipped tertiary center</w:t>
      </w:r>
      <w:r w:rsidR="00B032D2">
        <w:rPr>
          <w:sz w:val="24"/>
          <w:szCs w:val="24"/>
        </w:rPr>
        <w:t>s</w:t>
      </w:r>
      <w:r w:rsidR="008D1C31">
        <w:rPr>
          <w:sz w:val="24"/>
          <w:szCs w:val="24"/>
        </w:rPr>
        <w:t xml:space="preserve"> </w:t>
      </w:r>
    </w:p>
    <w:p w:rsidR="00A261E7" w:rsidRDefault="00A261E7" w:rsidP="005F717B">
      <w:pPr>
        <w:pStyle w:val="NoSpacing"/>
        <w:bidi w:val="0"/>
        <w:ind w:left="-709" w:right="-766"/>
        <w:jc w:val="both"/>
        <w:rPr>
          <w:sz w:val="24"/>
          <w:szCs w:val="24"/>
        </w:rPr>
      </w:pPr>
      <w:r w:rsidRPr="0070127F">
        <w:rPr>
          <w:i/>
          <w:iCs/>
          <w:sz w:val="24"/>
          <w:szCs w:val="24"/>
        </w:rPr>
        <w:t>Patients and methods:</w:t>
      </w:r>
      <w:r w:rsidRPr="00A261E7">
        <w:rPr>
          <w:sz w:val="24"/>
          <w:szCs w:val="24"/>
        </w:rPr>
        <w:t xml:space="preserve"> 250 cases of choledocholithiasis were included from general surgery department, Sohag </w:t>
      </w:r>
      <w:r w:rsidR="00B032D2">
        <w:rPr>
          <w:sz w:val="24"/>
          <w:szCs w:val="24"/>
        </w:rPr>
        <w:t xml:space="preserve">and Assuit </w:t>
      </w:r>
      <w:r w:rsidRPr="00A261E7">
        <w:rPr>
          <w:sz w:val="24"/>
          <w:szCs w:val="24"/>
        </w:rPr>
        <w:t>university hospital</w:t>
      </w:r>
      <w:r w:rsidR="00B032D2">
        <w:rPr>
          <w:sz w:val="24"/>
          <w:szCs w:val="24"/>
        </w:rPr>
        <w:t>s</w:t>
      </w:r>
      <w:r w:rsidRPr="00A261E7">
        <w:rPr>
          <w:sz w:val="24"/>
          <w:szCs w:val="24"/>
        </w:rPr>
        <w:t xml:space="preserve"> and managed randomly by </w:t>
      </w:r>
      <w:r w:rsidR="00B032D2">
        <w:rPr>
          <w:sz w:val="24"/>
          <w:szCs w:val="24"/>
        </w:rPr>
        <w:t xml:space="preserve">either </w:t>
      </w:r>
      <w:r w:rsidRPr="00A261E7">
        <w:rPr>
          <w:sz w:val="24"/>
          <w:szCs w:val="24"/>
        </w:rPr>
        <w:t>conventiona</w:t>
      </w:r>
      <w:r w:rsidR="00B032D2">
        <w:rPr>
          <w:sz w:val="24"/>
          <w:szCs w:val="24"/>
        </w:rPr>
        <w:t>l surgery, endoscopic, or laparoscopic procedures</w:t>
      </w:r>
    </w:p>
    <w:p w:rsidR="00A261E7" w:rsidRPr="00480EF3" w:rsidRDefault="00A261E7" w:rsidP="005F717B">
      <w:pPr>
        <w:pStyle w:val="NoSpacing"/>
        <w:bidi w:val="0"/>
        <w:ind w:left="-709" w:right="-766"/>
        <w:jc w:val="both"/>
        <w:rPr>
          <w:sz w:val="24"/>
          <w:szCs w:val="24"/>
        </w:rPr>
      </w:pPr>
      <w:r w:rsidRPr="0070127F">
        <w:rPr>
          <w:i/>
          <w:iCs/>
          <w:sz w:val="24"/>
          <w:szCs w:val="24"/>
        </w:rPr>
        <w:t>Results:</w:t>
      </w:r>
      <w:r>
        <w:rPr>
          <w:sz w:val="24"/>
          <w:szCs w:val="24"/>
        </w:rPr>
        <w:t xml:space="preserve"> </w:t>
      </w:r>
      <w:r w:rsidR="00480EF3" w:rsidRPr="00480EF3">
        <w:rPr>
          <w:sz w:val="24"/>
          <w:szCs w:val="24"/>
        </w:rPr>
        <w:t>Ages of our patients were ranged from 20-60 years (mean 40 years), with slight femal</w:t>
      </w:r>
      <w:r w:rsidR="00B032D2">
        <w:rPr>
          <w:sz w:val="24"/>
          <w:szCs w:val="24"/>
        </w:rPr>
        <w:t xml:space="preserve">e predominance (1.6: </w:t>
      </w:r>
      <w:r w:rsidR="00480EF3" w:rsidRPr="00480EF3">
        <w:rPr>
          <w:sz w:val="24"/>
          <w:szCs w:val="24"/>
        </w:rPr>
        <w:t>1), most of them presented wi</w:t>
      </w:r>
      <w:r w:rsidR="00B032D2">
        <w:rPr>
          <w:sz w:val="24"/>
          <w:szCs w:val="24"/>
        </w:rPr>
        <w:t>th calcular obstruction</w:t>
      </w:r>
      <w:r w:rsidR="00480EF3" w:rsidRPr="00480EF3">
        <w:rPr>
          <w:sz w:val="24"/>
          <w:szCs w:val="24"/>
        </w:rPr>
        <w:t xml:space="preserve"> (54.3%), however other presentations are also encountered as colic, cholangitis, or accidental discovery in 14.3, 10, 21.5% respectively.</w:t>
      </w:r>
      <w:r w:rsidR="008D1C31">
        <w:rPr>
          <w:sz w:val="24"/>
          <w:szCs w:val="24"/>
        </w:rPr>
        <w:t xml:space="preserve"> Patients were</w:t>
      </w:r>
      <w:r>
        <w:rPr>
          <w:sz w:val="24"/>
          <w:szCs w:val="24"/>
        </w:rPr>
        <w:t xml:space="preserve"> categorized randomly into 3 groups:</w:t>
      </w:r>
    </w:p>
    <w:p w:rsidR="00480EF3" w:rsidRPr="00480EF3" w:rsidRDefault="00B032D2" w:rsidP="005F717B">
      <w:pPr>
        <w:pStyle w:val="NoSpacing"/>
        <w:bidi w:val="0"/>
        <w:ind w:left="-709" w:right="-766"/>
        <w:jc w:val="both"/>
        <w:rPr>
          <w:sz w:val="24"/>
          <w:szCs w:val="24"/>
        </w:rPr>
      </w:pPr>
      <w:r>
        <w:rPr>
          <w:sz w:val="24"/>
          <w:szCs w:val="24"/>
        </w:rPr>
        <w:t>Group I included</w:t>
      </w:r>
      <w:r w:rsidR="00480EF3" w:rsidRPr="00480EF3">
        <w:rPr>
          <w:sz w:val="24"/>
          <w:szCs w:val="24"/>
        </w:rPr>
        <w:t xml:space="preserve"> 100 patients (40%) were treated by open choledocholithotomy and T tube insertion, the operative time was 90 (60-180) min. with success rate of the attempted procedures reaching 100%, and CBD clearance of stones was achieved in 95% of cases (5 cases of missed stones), hospital stay was 8 (5-12) days, with no mortality and morbidity rate reaches 15% in the form of wound infection, bile leak, and missed stone. The patient can return to work after 2 weeks (12-20 days).</w:t>
      </w:r>
    </w:p>
    <w:p w:rsidR="00480EF3" w:rsidRPr="00480EF3" w:rsidRDefault="00B032D2" w:rsidP="005F717B">
      <w:pPr>
        <w:pStyle w:val="NoSpacing"/>
        <w:bidi w:val="0"/>
        <w:ind w:left="-709" w:right="-766"/>
        <w:jc w:val="both"/>
        <w:rPr>
          <w:sz w:val="24"/>
          <w:szCs w:val="24"/>
        </w:rPr>
      </w:pPr>
      <w:r>
        <w:rPr>
          <w:sz w:val="24"/>
          <w:szCs w:val="24"/>
        </w:rPr>
        <w:t>Group II</w:t>
      </w:r>
      <w:r w:rsidR="00480EF3" w:rsidRPr="00480EF3">
        <w:rPr>
          <w:sz w:val="24"/>
          <w:szCs w:val="24"/>
        </w:rPr>
        <w:t xml:space="preserve"> include</w:t>
      </w:r>
      <w:r>
        <w:rPr>
          <w:sz w:val="24"/>
          <w:szCs w:val="24"/>
        </w:rPr>
        <w:t>d</w:t>
      </w:r>
      <w:r w:rsidR="00480EF3" w:rsidRPr="00480EF3">
        <w:rPr>
          <w:sz w:val="24"/>
          <w:szCs w:val="24"/>
        </w:rPr>
        <w:t xml:space="preserve"> 100 cases (40%) treated by endoscopic sphincterotomy and basket extraction in 45%, balloon in 25%, combined maneuver in 15%, me</w:t>
      </w:r>
      <w:r>
        <w:rPr>
          <w:sz w:val="24"/>
          <w:szCs w:val="24"/>
        </w:rPr>
        <w:t>chanical lithotripsy in 13%, with</w:t>
      </w:r>
      <w:r w:rsidR="00480EF3" w:rsidRPr="00480EF3">
        <w:rPr>
          <w:sz w:val="24"/>
          <w:szCs w:val="24"/>
        </w:rPr>
        <w:t xml:space="preserve"> failure of the technique in two cases (2%), the procedure time was about 30 (20-45) min. with success rate of attempted procedure 98% and CBD clearance of stones was achieved by 100%, with no mortality, and morbidity rate of 9% in the form of cholangitis (3%) and mild pancreatitis with hyperamylasemia (6%), the period of hospital stay was 1 (1-2) days, and patient return to work after 3 (2-5)days.</w:t>
      </w:r>
    </w:p>
    <w:p w:rsidR="00480EF3" w:rsidRDefault="00B032D2" w:rsidP="005F717B">
      <w:pPr>
        <w:pStyle w:val="NoSpacing"/>
        <w:bidi w:val="0"/>
        <w:ind w:left="-709" w:right="-766"/>
        <w:jc w:val="both"/>
        <w:rPr>
          <w:sz w:val="24"/>
          <w:szCs w:val="24"/>
        </w:rPr>
      </w:pPr>
      <w:r>
        <w:rPr>
          <w:sz w:val="24"/>
          <w:szCs w:val="24"/>
        </w:rPr>
        <w:t>Group III</w:t>
      </w:r>
      <w:r w:rsidR="00480EF3" w:rsidRPr="00480EF3">
        <w:rPr>
          <w:sz w:val="24"/>
          <w:szCs w:val="24"/>
        </w:rPr>
        <w:t xml:space="preserve"> include</w:t>
      </w:r>
      <w:r>
        <w:rPr>
          <w:sz w:val="24"/>
          <w:szCs w:val="24"/>
        </w:rPr>
        <w:t>d</w:t>
      </w:r>
      <w:r w:rsidR="00480EF3" w:rsidRPr="00480EF3">
        <w:rPr>
          <w:sz w:val="24"/>
          <w:szCs w:val="24"/>
        </w:rPr>
        <w:t xml:space="preserve"> 50 cases (20%) treated by laparoscopic approaches either by trans-cystic approaches in 5 cases, or trans-choledochotomy approaches in 45 cases. Choledochoscopic exploration was done in almost all cases (45 cases) to </w:t>
      </w:r>
      <w:r>
        <w:rPr>
          <w:sz w:val="24"/>
          <w:szCs w:val="24"/>
        </w:rPr>
        <w:t xml:space="preserve">detect, </w:t>
      </w:r>
      <w:r w:rsidR="00480EF3" w:rsidRPr="00480EF3">
        <w:rPr>
          <w:sz w:val="24"/>
          <w:szCs w:val="24"/>
        </w:rPr>
        <w:t xml:space="preserve">extract the stones and test CBD clearance, and conversion to open techniques in 1 case. The time needed for this procedure was 123 (70-292) min. with CBD clearance of stones in 96% (2 </w:t>
      </w:r>
      <w:r w:rsidR="00170EE5" w:rsidRPr="00480EF3">
        <w:rPr>
          <w:sz w:val="24"/>
          <w:szCs w:val="24"/>
        </w:rPr>
        <w:t>cases</w:t>
      </w:r>
      <w:r w:rsidR="00480EF3" w:rsidRPr="00480EF3">
        <w:rPr>
          <w:sz w:val="24"/>
          <w:szCs w:val="24"/>
        </w:rPr>
        <w:t xml:space="preserve"> of missed stone), with no mortality, and morbidity rate about 10% in the form of mild hyperamylasemia, fever, and missed stone. The period of hospital stay was 3.2 (2-4) days with return to the work after 7 (5-10) days.</w:t>
      </w:r>
    </w:p>
    <w:p w:rsidR="00E54DC7" w:rsidRPr="008D1C31" w:rsidRDefault="00E54DC7" w:rsidP="005F717B">
      <w:pPr>
        <w:pStyle w:val="NoSpacing"/>
        <w:bidi w:val="0"/>
        <w:ind w:left="-709" w:right="-766"/>
        <w:jc w:val="both"/>
        <w:rPr>
          <w:sz w:val="24"/>
          <w:szCs w:val="24"/>
        </w:rPr>
      </w:pPr>
      <w:r w:rsidRPr="0070127F">
        <w:rPr>
          <w:i/>
          <w:iCs/>
          <w:sz w:val="24"/>
          <w:szCs w:val="24"/>
        </w:rPr>
        <w:t>Conclusion</w:t>
      </w:r>
      <w:r w:rsidRPr="0070127F">
        <w:rPr>
          <w:i/>
          <w:iCs/>
          <w:sz w:val="24"/>
          <w:szCs w:val="24"/>
          <w:rtl/>
        </w:rPr>
        <w:t>:</w:t>
      </w:r>
      <w:r w:rsidR="008D1C31">
        <w:rPr>
          <w:sz w:val="24"/>
          <w:szCs w:val="24"/>
        </w:rPr>
        <w:t xml:space="preserve"> </w:t>
      </w:r>
      <w:r w:rsidR="008D1C31" w:rsidRPr="008D1C31">
        <w:rPr>
          <w:sz w:val="24"/>
          <w:szCs w:val="24"/>
        </w:rPr>
        <w:t>Both ERCP/LC and LCBDE were highly eff</w:t>
      </w:r>
      <w:r w:rsidR="008D1C31">
        <w:rPr>
          <w:sz w:val="24"/>
          <w:szCs w:val="24"/>
        </w:rPr>
        <w:t>ective in</w:t>
      </w:r>
      <w:r w:rsidR="008D1C31" w:rsidRPr="008D1C31">
        <w:rPr>
          <w:sz w:val="24"/>
          <w:szCs w:val="24"/>
        </w:rPr>
        <w:t xml:space="preserve"> CBD </w:t>
      </w:r>
      <w:r w:rsidR="008D1C31">
        <w:rPr>
          <w:sz w:val="24"/>
          <w:szCs w:val="24"/>
        </w:rPr>
        <w:t>clearance,</w:t>
      </w:r>
      <w:r w:rsidR="008D1C31" w:rsidRPr="008D1C31">
        <w:rPr>
          <w:sz w:val="24"/>
          <w:szCs w:val="24"/>
        </w:rPr>
        <w:t xml:space="preserve"> an</w:t>
      </w:r>
      <w:r w:rsidR="008D1C31">
        <w:rPr>
          <w:sz w:val="24"/>
          <w:szCs w:val="24"/>
        </w:rPr>
        <w:t>d</w:t>
      </w:r>
      <w:r w:rsidR="008D1C31" w:rsidRPr="008D1C31">
        <w:rPr>
          <w:sz w:val="24"/>
          <w:szCs w:val="24"/>
        </w:rPr>
        <w:t xml:space="preserve"> equivalent in overall cost and patient acceptance. However, the overall duration of hospitalization was shor</w:t>
      </w:r>
      <w:r w:rsidR="002438D2">
        <w:rPr>
          <w:sz w:val="24"/>
          <w:szCs w:val="24"/>
        </w:rPr>
        <w:t>ter for LCBDE with elimination of</w:t>
      </w:r>
      <w:r w:rsidR="008D1C31" w:rsidRPr="008D1C31">
        <w:rPr>
          <w:sz w:val="24"/>
          <w:szCs w:val="24"/>
        </w:rPr>
        <w:t xml:space="preserve"> the potential risks of </w:t>
      </w:r>
      <w:r w:rsidR="002438D2">
        <w:rPr>
          <w:sz w:val="24"/>
          <w:szCs w:val="24"/>
        </w:rPr>
        <w:t>ERCP associated pancreatitis,</w:t>
      </w:r>
      <w:r w:rsidR="00B032D2">
        <w:rPr>
          <w:sz w:val="24"/>
          <w:szCs w:val="24"/>
        </w:rPr>
        <w:t xml:space="preserve"> further</w:t>
      </w:r>
      <w:r w:rsidR="008D1C31" w:rsidRPr="008D1C31">
        <w:rPr>
          <w:sz w:val="24"/>
          <w:szCs w:val="24"/>
        </w:rPr>
        <w:t xml:space="preserve"> procedure</w:t>
      </w:r>
      <w:r w:rsidR="002438D2">
        <w:rPr>
          <w:sz w:val="24"/>
          <w:szCs w:val="24"/>
        </w:rPr>
        <w:t>,</w:t>
      </w:r>
      <w:r w:rsidR="00B032D2">
        <w:rPr>
          <w:sz w:val="24"/>
          <w:szCs w:val="24"/>
        </w:rPr>
        <w:t xml:space="preserve"> and</w:t>
      </w:r>
      <w:r w:rsidR="008D1C31" w:rsidRPr="008D1C31">
        <w:rPr>
          <w:sz w:val="24"/>
          <w:szCs w:val="24"/>
        </w:rPr>
        <w:t xml:space="preserve"> anesthesia</w:t>
      </w:r>
      <w:r w:rsidR="00B032D2">
        <w:rPr>
          <w:sz w:val="24"/>
          <w:szCs w:val="24"/>
        </w:rPr>
        <w:t xml:space="preserve"> risks</w:t>
      </w:r>
      <w:r w:rsidR="008D1C31" w:rsidRPr="008D1C31">
        <w:rPr>
          <w:sz w:val="24"/>
          <w:szCs w:val="24"/>
        </w:rPr>
        <w:t>. It is feasible, cost-effective, and ultimately should be available for most patients</w:t>
      </w:r>
      <w:r w:rsidR="002438D2">
        <w:rPr>
          <w:sz w:val="24"/>
          <w:szCs w:val="24"/>
        </w:rPr>
        <w:t xml:space="preserve"> in each specialized center.</w:t>
      </w:r>
    </w:p>
    <w:p w:rsidR="00E54DC7" w:rsidRPr="00E54DC7" w:rsidRDefault="0070127F" w:rsidP="005F717B">
      <w:pPr>
        <w:pStyle w:val="NoSpacing"/>
        <w:bidi w:val="0"/>
        <w:ind w:left="-709" w:right="-766"/>
        <w:jc w:val="both"/>
        <w:rPr>
          <w:sz w:val="24"/>
          <w:szCs w:val="24"/>
        </w:rPr>
      </w:pPr>
      <w:r w:rsidRPr="00EF6014">
        <w:rPr>
          <w:b/>
          <w:bCs/>
          <w:i/>
          <w:iCs/>
          <w:sz w:val="24"/>
          <w:szCs w:val="24"/>
        </w:rPr>
        <w:t>Keywords</w:t>
      </w:r>
      <w:r w:rsidR="00E54DC7" w:rsidRPr="0070127F">
        <w:rPr>
          <w:i/>
          <w:iCs/>
          <w:sz w:val="24"/>
          <w:szCs w:val="24"/>
          <w:rtl/>
        </w:rPr>
        <w:t>:</w:t>
      </w:r>
      <w:r w:rsidR="00E54DC7">
        <w:rPr>
          <w:sz w:val="24"/>
          <w:szCs w:val="24"/>
        </w:rPr>
        <w:t xml:space="preserve"> </w:t>
      </w:r>
      <w:r w:rsidR="00EF6014">
        <w:rPr>
          <w:sz w:val="24"/>
          <w:szCs w:val="24"/>
        </w:rPr>
        <w:t xml:space="preserve"> </w:t>
      </w:r>
      <w:r w:rsidR="00E54DC7">
        <w:rPr>
          <w:sz w:val="24"/>
          <w:szCs w:val="24"/>
        </w:rPr>
        <w:t>LCBDE, choledocholithotomy, ERCP, sphincterotomy</w:t>
      </w:r>
      <w:bookmarkStart w:id="0" w:name="_GoBack"/>
      <w:bookmarkEnd w:id="0"/>
    </w:p>
    <w:sectPr w:rsidR="00E54DC7" w:rsidRPr="00E54DC7" w:rsidSect="001B19B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02BB1"/>
    <w:multiLevelType w:val="hybridMultilevel"/>
    <w:tmpl w:val="D540965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>
    <w:nsid w:val="24DB26C1"/>
    <w:multiLevelType w:val="hybridMultilevel"/>
    <w:tmpl w:val="9056CA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8A6"/>
    <w:rsid w:val="00014C66"/>
    <w:rsid w:val="000550B7"/>
    <w:rsid w:val="0008519F"/>
    <w:rsid w:val="000E4519"/>
    <w:rsid w:val="00102B10"/>
    <w:rsid w:val="00150384"/>
    <w:rsid w:val="00170EE5"/>
    <w:rsid w:val="00174F71"/>
    <w:rsid w:val="001B19B3"/>
    <w:rsid w:val="001B77C7"/>
    <w:rsid w:val="001F04B4"/>
    <w:rsid w:val="00237507"/>
    <w:rsid w:val="002438D2"/>
    <w:rsid w:val="002A6439"/>
    <w:rsid w:val="002B5FBF"/>
    <w:rsid w:val="002C2E74"/>
    <w:rsid w:val="0030400B"/>
    <w:rsid w:val="003040E4"/>
    <w:rsid w:val="00315937"/>
    <w:rsid w:val="00317032"/>
    <w:rsid w:val="003862AE"/>
    <w:rsid w:val="003B29F1"/>
    <w:rsid w:val="003D251C"/>
    <w:rsid w:val="003E5DCA"/>
    <w:rsid w:val="00401F42"/>
    <w:rsid w:val="00411FDD"/>
    <w:rsid w:val="0043419A"/>
    <w:rsid w:val="00441EAF"/>
    <w:rsid w:val="00480EF3"/>
    <w:rsid w:val="00485324"/>
    <w:rsid w:val="00491F18"/>
    <w:rsid w:val="00493A4C"/>
    <w:rsid w:val="004D0F98"/>
    <w:rsid w:val="004E56F3"/>
    <w:rsid w:val="004F1A73"/>
    <w:rsid w:val="0050548F"/>
    <w:rsid w:val="005246A7"/>
    <w:rsid w:val="00546FD8"/>
    <w:rsid w:val="00547F0A"/>
    <w:rsid w:val="005A4E77"/>
    <w:rsid w:val="005C1004"/>
    <w:rsid w:val="005F717B"/>
    <w:rsid w:val="006019D2"/>
    <w:rsid w:val="00611B63"/>
    <w:rsid w:val="0061211E"/>
    <w:rsid w:val="00636EDC"/>
    <w:rsid w:val="00645E2A"/>
    <w:rsid w:val="00662EEB"/>
    <w:rsid w:val="006C52F4"/>
    <w:rsid w:val="006D004D"/>
    <w:rsid w:val="006D08C0"/>
    <w:rsid w:val="006D5551"/>
    <w:rsid w:val="006F2AEC"/>
    <w:rsid w:val="00700ACF"/>
    <w:rsid w:val="0070127F"/>
    <w:rsid w:val="00707C1D"/>
    <w:rsid w:val="007121ED"/>
    <w:rsid w:val="00712C7C"/>
    <w:rsid w:val="00726C59"/>
    <w:rsid w:val="00732694"/>
    <w:rsid w:val="00773353"/>
    <w:rsid w:val="0077651F"/>
    <w:rsid w:val="00777871"/>
    <w:rsid w:val="007815DF"/>
    <w:rsid w:val="00786767"/>
    <w:rsid w:val="007946C0"/>
    <w:rsid w:val="00794FC7"/>
    <w:rsid w:val="007A3A5E"/>
    <w:rsid w:val="007A695C"/>
    <w:rsid w:val="0080192D"/>
    <w:rsid w:val="00803452"/>
    <w:rsid w:val="0081438F"/>
    <w:rsid w:val="0082387D"/>
    <w:rsid w:val="00843B11"/>
    <w:rsid w:val="008479CF"/>
    <w:rsid w:val="00853479"/>
    <w:rsid w:val="00886F02"/>
    <w:rsid w:val="0089184D"/>
    <w:rsid w:val="008B2BF6"/>
    <w:rsid w:val="008C5FC9"/>
    <w:rsid w:val="008D1C31"/>
    <w:rsid w:val="008D5BCB"/>
    <w:rsid w:val="008F5B9A"/>
    <w:rsid w:val="00916E39"/>
    <w:rsid w:val="0092602F"/>
    <w:rsid w:val="00937E99"/>
    <w:rsid w:val="00977AAB"/>
    <w:rsid w:val="009B0994"/>
    <w:rsid w:val="009B5C3A"/>
    <w:rsid w:val="009C34F3"/>
    <w:rsid w:val="00A25CB1"/>
    <w:rsid w:val="00A261E7"/>
    <w:rsid w:val="00A51D4B"/>
    <w:rsid w:val="00A56E01"/>
    <w:rsid w:val="00A65A47"/>
    <w:rsid w:val="00A71636"/>
    <w:rsid w:val="00AD0C2A"/>
    <w:rsid w:val="00AE1B18"/>
    <w:rsid w:val="00B01765"/>
    <w:rsid w:val="00B032D2"/>
    <w:rsid w:val="00B238A6"/>
    <w:rsid w:val="00B530B7"/>
    <w:rsid w:val="00B670DF"/>
    <w:rsid w:val="00B72C1D"/>
    <w:rsid w:val="00B73EFF"/>
    <w:rsid w:val="00BA62F5"/>
    <w:rsid w:val="00BB1FC7"/>
    <w:rsid w:val="00BB6111"/>
    <w:rsid w:val="00BB6878"/>
    <w:rsid w:val="00BC1E5E"/>
    <w:rsid w:val="00C755E8"/>
    <w:rsid w:val="00C860CE"/>
    <w:rsid w:val="00CC0E27"/>
    <w:rsid w:val="00D06A52"/>
    <w:rsid w:val="00D11D50"/>
    <w:rsid w:val="00D160EB"/>
    <w:rsid w:val="00D20C30"/>
    <w:rsid w:val="00D308AB"/>
    <w:rsid w:val="00D41989"/>
    <w:rsid w:val="00D42FCF"/>
    <w:rsid w:val="00D76981"/>
    <w:rsid w:val="00D774FA"/>
    <w:rsid w:val="00D9577E"/>
    <w:rsid w:val="00DF1AB1"/>
    <w:rsid w:val="00DF6BAF"/>
    <w:rsid w:val="00E255EF"/>
    <w:rsid w:val="00E54DC7"/>
    <w:rsid w:val="00EE7FD5"/>
    <w:rsid w:val="00EF557B"/>
    <w:rsid w:val="00EF6014"/>
    <w:rsid w:val="00F61DFA"/>
    <w:rsid w:val="00FA555C"/>
    <w:rsid w:val="00FA78AF"/>
    <w:rsid w:val="00FB2050"/>
    <w:rsid w:val="00FB577E"/>
    <w:rsid w:val="00FC6991"/>
    <w:rsid w:val="00FE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F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238A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B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30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712C7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Spacing">
    <w:name w:val="No Spacing"/>
    <w:uiPriority w:val="1"/>
    <w:qFormat/>
    <w:rsid w:val="00E54DC7"/>
    <w:pPr>
      <w:bidi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815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70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F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238A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B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30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712C7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Spacing">
    <w:name w:val="No Spacing"/>
    <w:uiPriority w:val="1"/>
    <w:qFormat/>
    <w:rsid w:val="00E54DC7"/>
    <w:pPr>
      <w:bidi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815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70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0A82D-2393-4579-99EF-16B0D1034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2540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ALBOSTAN</dc:creator>
  <cp:lastModifiedBy>ALBOSTAN</cp:lastModifiedBy>
  <cp:revision>47</cp:revision>
  <cp:lastPrinted>2016-10-10T01:16:00Z</cp:lastPrinted>
  <dcterms:created xsi:type="dcterms:W3CDTF">2016-09-05T07:45:00Z</dcterms:created>
  <dcterms:modified xsi:type="dcterms:W3CDTF">2018-03-25T21:25:00Z</dcterms:modified>
</cp:coreProperties>
</file>